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default" w:ascii="Times New Roman" w:hAnsi="Times New Roman" w:eastAsia="方正黑体_GBK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outlineLvl w:val="9"/>
        <w:rPr>
          <w:rFonts w:hint="default" w:ascii="Times New Roman" w:hAnsi="Times New Roman" w:eastAsia="方正仿宋_GBK" w:cs="Times New Roman"/>
          <w:b/>
          <w:bCs/>
          <w:sz w:val="44"/>
          <w:szCs w:val="44"/>
          <w:lang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eastAsia="zh-CN"/>
        </w:rPr>
        <w:t>残疾等级评定结果告知书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 xml:space="preserve">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按照《军人抚恤优待条例》《军人残疾等级评定标准》等政策文件，经鉴定，你的残疾等级评定结果如下：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□因</w:t>
      </w:r>
      <w:r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  <w:t>没有因战因公致残的档案记载或者原始医疗证明，不予评定残疾等级；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□因</w:t>
      </w:r>
      <w:r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  <w:t>残疾情况达不到《军人残疾等级评定标准》，不予评定残疾等级；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□因</w:t>
      </w:r>
      <w:r>
        <w:rPr>
          <w:rFonts w:hint="default" w:ascii="Times New Roman" w:hAnsi="Times New Roman" w:eastAsia="仿宋_GB2312" w:cs="Times New Roman"/>
          <w:sz w:val="32"/>
          <w:szCs w:val="32"/>
          <w:u w:val="single" w:color="auto"/>
          <w:lang w:val="en-US" w:eastAsia="zh-CN"/>
        </w:rPr>
        <w:t xml:space="preserve">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  <w:t>，不予评定残疾等级；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□残疾情况与原定残疾等级相符，不予调整残疾等级；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□残疾情况发生明显变化，符合《军人残疾等级评定标准》第</w:t>
      </w:r>
      <w:r>
        <w:rPr>
          <w:rFonts w:hint="default" w:ascii="Times New Roman" w:hAnsi="Times New Roman" w:eastAsia="仿宋_GB2312" w:cs="Times New Roman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  <w:t>条第</w:t>
      </w:r>
      <w:r>
        <w:rPr>
          <w:rFonts w:hint="default" w:ascii="Times New Roman" w:hAnsi="Times New Roman" w:eastAsia="仿宋_GB2312" w:cs="Times New Roman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  <w:t>项，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将残疾等级调整为</w:t>
      </w:r>
      <w:r>
        <w:rPr>
          <w:rFonts w:hint="default" w:ascii="Times New Roman" w:hAnsi="Times New Roman" w:eastAsia="仿宋_GB2312" w:cs="Times New Roman"/>
          <w:sz w:val="32"/>
          <w:szCs w:val="32"/>
          <w:u w:val="single" w:color="auto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sz w:val="32"/>
          <w:szCs w:val="32"/>
          <w:u w:val="none" w:color="auto"/>
          <w:lang w:val="en-US" w:eastAsia="zh-CN"/>
        </w:rPr>
        <w:t>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□残疾情况明显减轻或消失，已经达不到最低等级评定标准，取消原定的残疾等级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特此告知。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如今后原评残部位残疾情况发生变化，可提交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6个月内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原定残疾等级与残疾情况明显不符的二级甲等以上医院的就诊病历、检查报告、诊断结论等，向户籍地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县级人民政府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退役军人事务局重新申请评定残疾等级。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4798" w:leftChars="304" w:hanging="4160" w:hangingChars="1300"/>
        <w:jc w:val="left"/>
        <w:textAlignment w:val="auto"/>
        <w:outlineLvl w:val="9"/>
        <w:rPr>
          <w:rFonts w:hint="default" w:ascii="Times New Roman" w:hAnsi="Times New Roman" w:eastAsia="方正黑体_GBK" w:cs="Times New Roman"/>
          <w:sz w:val="28"/>
          <w:szCs w:val="28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u w:val="single"/>
          <w:lang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退役军人事务局（章）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年    月    日</w:t>
      </w:r>
    </w:p>
    <w:p/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4C2DEC"/>
    <w:rsid w:val="404C2D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Office_11.2.0.9107_F1E327BC-269C-435d-A152-05C5408002CA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2019-12-18T06:33:00Z</dcterms:created>
  <dc:creator>JJB</dc:creator>
  <cp:lastModifiedBy>JJB</cp:lastModifiedBy>
  <dcterms:modified xsi:type="dcterms:W3CDTF">2019-12-18T06:34:03Z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1033-11.2.0.9107</vt:lpwstr>
  </property>
</Properties>
</file>